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5D" w:rsidRPr="00DA511B" w:rsidRDefault="00D93E43" w:rsidP="007D45AB">
      <w:pPr>
        <w:spacing w:line="480" w:lineRule="auto"/>
        <w:rPr>
          <w:rFonts w:ascii="Times New Roman" w:hAnsi="Times New Roman" w:cs="Times New Roman"/>
          <w:b/>
          <w:sz w:val="24"/>
          <w:szCs w:val="24"/>
        </w:rPr>
      </w:pPr>
      <w:r w:rsidRPr="00DA511B">
        <w:rPr>
          <w:rFonts w:ascii="Times New Roman" w:hAnsi="Times New Roman" w:cs="Times New Roman"/>
          <w:b/>
          <w:sz w:val="24"/>
          <w:szCs w:val="24"/>
        </w:rPr>
        <w:t>Chapter 5 question 1</w:t>
      </w:r>
    </w:p>
    <w:p w:rsidR="00A709B0" w:rsidRPr="005E76DE" w:rsidRDefault="00A709B0" w:rsidP="007D45AB">
      <w:pPr>
        <w:shd w:val="clear" w:color="auto" w:fill="FFFFFF"/>
        <w:spacing w:before="100" w:beforeAutospacing="1" w:after="0" w:afterAutospacing="1" w:line="480" w:lineRule="auto"/>
        <w:rPr>
          <w:rFonts w:ascii="Times New Roman" w:eastAsia="Times New Roman" w:hAnsi="Times New Roman" w:cs="Times New Roman"/>
          <w:b/>
          <w:color w:val="000000"/>
          <w:sz w:val="24"/>
          <w:szCs w:val="24"/>
        </w:rPr>
      </w:pPr>
      <w:r w:rsidRPr="00A709B0">
        <w:rPr>
          <w:rFonts w:ascii="Times New Roman" w:eastAsia="Times New Roman" w:hAnsi="Times New Roman" w:cs="Times New Roman"/>
          <w:b/>
          <w:color w:val="000000"/>
          <w:sz w:val="24"/>
          <w:szCs w:val="24"/>
        </w:rPr>
        <w:t>Distinguish between sex, gender identity, gender role</w:t>
      </w:r>
      <w:r w:rsidRPr="005E76DE">
        <w:rPr>
          <w:rFonts w:ascii="Times New Roman" w:eastAsia="Times New Roman" w:hAnsi="Times New Roman" w:cs="Times New Roman"/>
          <w:b/>
          <w:color w:val="000000"/>
          <w:sz w:val="24"/>
          <w:szCs w:val="24"/>
        </w:rPr>
        <w:t>, gender expression, and sexual orientation</w:t>
      </w:r>
      <w:r w:rsidRPr="00A709B0">
        <w:rPr>
          <w:rFonts w:ascii="Times New Roman" w:eastAsia="Times New Roman" w:hAnsi="Times New Roman" w:cs="Times New Roman"/>
          <w:b/>
          <w:color w:val="000000"/>
          <w:sz w:val="24"/>
          <w:szCs w:val="24"/>
        </w:rPr>
        <w:t>, and provide detailed examples of each. Then, list and describe the different levels of gender-identity formation from a biological perspective, highlighting the male-female differences and including discussion of brain and cognitive differences. Identify the homologous sex organs. </w:t>
      </w:r>
    </w:p>
    <w:p w:rsidR="00CE7C64" w:rsidRPr="007D45AB" w:rsidRDefault="00A709B0"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000000"/>
          <w:sz w:val="24"/>
          <w:szCs w:val="24"/>
        </w:rPr>
      </w:pPr>
      <w:r w:rsidRPr="007D45AB">
        <w:rPr>
          <w:rFonts w:ascii="Times New Roman" w:eastAsia="Times New Roman" w:hAnsi="Times New Roman" w:cs="Times New Roman"/>
          <w:color w:val="000000"/>
          <w:sz w:val="24"/>
          <w:szCs w:val="24"/>
        </w:rPr>
        <w:t>Sex refers to the biological characteristics distinguishing female and male. In other words, sex refers to</w:t>
      </w:r>
      <w:r w:rsidR="00354E25">
        <w:rPr>
          <w:rFonts w:ascii="Times New Roman" w:eastAsia="Times New Roman" w:hAnsi="Times New Roman" w:cs="Times New Roman"/>
          <w:color w:val="000000"/>
          <w:sz w:val="24"/>
          <w:szCs w:val="24"/>
        </w:rPr>
        <w:t xml:space="preserve"> both physiological and physical </w:t>
      </w:r>
      <w:r w:rsidRPr="007D45AB">
        <w:rPr>
          <w:rFonts w:ascii="Times New Roman" w:eastAsia="Times New Roman" w:hAnsi="Times New Roman" w:cs="Times New Roman"/>
          <w:color w:val="000000"/>
          <w:sz w:val="24"/>
          <w:szCs w:val="24"/>
        </w:rPr>
        <w:t xml:space="preserve">differences between </w:t>
      </w:r>
      <w:r w:rsidR="00354E25">
        <w:rPr>
          <w:rFonts w:ascii="Times New Roman" w:eastAsia="Times New Roman" w:hAnsi="Times New Roman" w:cs="Times New Roman"/>
          <w:color w:val="000000"/>
          <w:sz w:val="24"/>
          <w:szCs w:val="24"/>
        </w:rPr>
        <w:t xml:space="preserve">females and </w:t>
      </w:r>
      <w:r w:rsidRPr="007D45AB">
        <w:rPr>
          <w:rFonts w:ascii="Times New Roman" w:eastAsia="Times New Roman" w:hAnsi="Times New Roman" w:cs="Times New Roman"/>
          <w:color w:val="000000"/>
          <w:sz w:val="24"/>
          <w:szCs w:val="24"/>
        </w:rPr>
        <w:t xml:space="preserve">males </w:t>
      </w:r>
      <w:r w:rsidR="00354E25">
        <w:rPr>
          <w:rFonts w:ascii="Times New Roman" w:eastAsia="Times New Roman" w:hAnsi="Times New Roman" w:cs="Times New Roman"/>
          <w:color w:val="000000"/>
          <w:sz w:val="24"/>
          <w:szCs w:val="24"/>
        </w:rPr>
        <w:t xml:space="preserve">including </w:t>
      </w:r>
      <w:r w:rsidRPr="007D45AB">
        <w:rPr>
          <w:rFonts w:ascii="Times New Roman" w:eastAsia="Times New Roman" w:hAnsi="Times New Roman" w:cs="Times New Roman"/>
          <w:color w:val="000000"/>
          <w:sz w:val="24"/>
          <w:szCs w:val="24"/>
        </w:rPr>
        <w:t>their reproductive systems</w:t>
      </w:r>
      <w:r w:rsidR="00354E25">
        <w:rPr>
          <w:rFonts w:ascii="Times New Roman" w:eastAsia="Times New Roman" w:hAnsi="Times New Roman" w:cs="Times New Roman"/>
          <w:color w:val="000000"/>
          <w:sz w:val="24"/>
          <w:szCs w:val="24"/>
        </w:rPr>
        <w:t xml:space="preserve"> (primary sex characteristics)</w:t>
      </w:r>
      <w:r w:rsidRPr="007D45AB">
        <w:rPr>
          <w:rFonts w:ascii="Times New Roman" w:eastAsia="Times New Roman" w:hAnsi="Times New Roman" w:cs="Times New Roman"/>
          <w:color w:val="000000"/>
          <w:sz w:val="24"/>
          <w:szCs w:val="24"/>
        </w:rPr>
        <w:t xml:space="preserve"> and secondary characteristics such as muscularity and height. The distinction between males and females are in terms of anatomy, chromosomes, hormones, and reproductive systems.</w:t>
      </w:r>
      <w:r w:rsidR="00CE7C64" w:rsidRPr="007D45AB">
        <w:rPr>
          <w:rFonts w:ascii="Times New Roman" w:eastAsia="Times New Roman" w:hAnsi="Times New Roman" w:cs="Times New Roman"/>
          <w:color w:val="000000"/>
          <w:sz w:val="24"/>
          <w:szCs w:val="24"/>
        </w:rPr>
        <w:t xml:space="preserve"> </w:t>
      </w:r>
      <w:r w:rsidR="00864CA7" w:rsidRPr="007D45AB">
        <w:rPr>
          <w:rFonts w:ascii="Times New Roman" w:eastAsia="Times New Roman" w:hAnsi="Times New Roman" w:cs="Times New Roman"/>
          <w:color w:val="000000"/>
          <w:sz w:val="24"/>
          <w:szCs w:val="24"/>
        </w:rPr>
        <w:t>For exam</w:t>
      </w:r>
      <w:r w:rsidR="00354E25">
        <w:rPr>
          <w:rFonts w:ascii="Times New Roman" w:eastAsia="Times New Roman" w:hAnsi="Times New Roman" w:cs="Times New Roman"/>
          <w:color w:val="000000"/>
          <w:sz w:val="24"/>
          <w:szCs w:val="24"/>
        </w:rPr>
        <w:t>ple, a child born with female</w:t>
      </w:r>
      <w:r w:rsidR="00864CA7" w:rsidRPr="007D45AB">
        <w:rPr>
          <w:rFonts w:ascii="Times New Roman" w:eastAsia="Times New Roman" w:hAnsi="Times New Roman" w:cs="Times New Roman"/>
          <w:color w:val="000000"/>
          <w:sz w:val="24"/>
          <w:szCs w:val="24"/>
        </w:rPr>
        <w:t xml:space="preserve"> genitalia is </w:t>
      </w:r>
      <w:r w:rsidR="00354E25">
        <w:rPr>
          <w:rFonts w:ascii="Times New Roman" w:eastAsia="Times New Roman" w:hAnsi="Times New Roman" w:cs="Times New Roman"/>
          <w:color w:val="000000"/>
          <w:sz w:val="24"/>
          <w:szCs w:val="24"/>
        </w:rPr>
        <w:t>identified as a girl</w:t>
      </w:r>
      <w:bookmarkStart w:id="0" w:name="_GoBack"/>
      <w:bookmarkEnd w:id="0"/>
      <w:r w:rsidR="00354E25">
        <w:rPr>
          <w:rFonts w:ascii="Times New Roman" w:eastAsia="Times New Roman" w:hAnsi="Times New Roman" w:cs="Times New Roman"/>
          <w:color w:val="000000"/>
          <w:sz w:val="24"/>
          <w:szCs w:val="24"/>
        </w:rPr>
        <w:t>.</w:t>
      </w:r>
    </w:p>
    <w:p w:rsidR="00492B47" w:rsidRPr="007D45AB" w:rsidRDefault="00CE7C64"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000000"/>
          <w:sz w:val="24"/>
          <w:szCs w:val="24"/>
        </w:rPr>
      </w:pPr>
      <w:r w:rsidRPr="007D45AB">
        <w:rPr>
          <w:rFonts w:ascii="Times New Roman" w:eastAsia="Times New Roman" w:hAnsi="Times New Roman" w:cs="Times New Roman"/>
          <w:color w:val="000000"/>
          <w:sz w:val="24"/>
          <w:szCs w:val="24"/>
        </w:rPr>
        <w:t>Gender identity refers to the extent to which a person identifies as either feminine or masculine. It is the degree to which one sees himself or herself as masculine or feminine. It is a personal conception of male or female</w:t>
      </w:r>
      <w:r w:rsidR="00F31BF7" w:rsidRPr="00F31BF7">
        <w:rPr>
          <w:rFonts w:ascii="Times New Roman" w:hAnsi="Times New Roman" w:cs="Times New Roman"/>
          <w:sz w:val="24"/>
          <w:szCs w:val="24"/>
        </w:rPr>
        <w:t xml:space="preserve"> </w:t>
      </w:r>
      <w:r w:rsidR="00F31BF7">
        <w:rPr>
          <w:rFonts w:ascii="Times New Roman" w:hAnsi="Times New Roman" w:cs="Times New Roman"/>
          <w:sz w:val="24"/>
          <w:szCs w:val="24"/>
        </w:rPr>
        <w:t>(</w:t>
      </w:r>
      <w:r w:rsidR="00F31BF7">
        <w:rPr>
          <w:rFonts w:ascii="Times New Roman" w:eastAsia="Times New Roman" w:hAnsi="Times New Roman" w:cs="Times New Roman"/>
          <w:color w:val="000000"/>
          <w:sz w:val="24"/>
          <w:szCs w:val="24"/>
        </w:rPr>
        <w:t xml:space="preserve">Cameron, </w:t>
      </w:r>
      <w:r w:rsidR="00F31BF7" w:rsidRPr="00F31BF7">
        <w:rPr>
          <w:rFonts w:ascii="Times New Roman" w:eastAsia="Times New Roman" w:hAnsi="Times New Roman" w:cs="Times New Roman"/>
          <w:color w:val="000000"/>
          <w:sz w:val="24"/>
          <w:szCs w:val="24"/>
        </w:rPr>
        <w:t>1998</w:t>
      </w:r>
      <w:r w:rsidR="00F31BF7">
        <w:rPr>
          <w:rFonts w:ascii="Times New Roman" w:eastAsia="Times New Roman" w:hAnsi="Times New Roman" w:cs="Times New Roman"/>
          <w:color w:val="000000"/>
          <w:sz w:val="24"/>
          <w:szCs w:val="24"/>
        </w:rPr>
        <w:t>)</w:t>
      </w:r>
      <w:r w:rsidRPr="007D45AB">
        <w:rPr>
          <w:rFonts w:ascii="Times New Roman" w:eastAsia="Times New Roman" w:hAnsi="Times New Roman" w:cs="Times New Roman"/>
          <w:color w:val="000000"/>
          <w:sz w:val="24"/>
          <w:szCs w:val="24"/>
        </w:rPr>
        <w:t>. Gender identity is not a stable, fixed trait instead it is socially constructed and may vary over time for a person. People who identify with roles which are opposite of their biological sex are called transgendered.</w:t>
      </w:r>
      <w:r w:rsidR="00864CA7" w:rsidRPr="007D45AB">
        <w:rPr>
          <w:rFonts w:ascii="Times New Roman" w:eastAsia="Times New Roman" w:hAnsi="Times New Roman" w:cs="Times New Roman"/>
          <w:color w:val="000000"/>
          <w:sz w:val="24"/>
          <w:szCs w:val="24"/>
        </w:rPr>
        <w:t xml:space="preserve"> For example, transgendered males have strong emotional and psychological connection to the feminine aspects such as timidity, subordination and nurturing.</w:t>
      </w:r>
    </w:p>
    <w:p w:rsidR="00A709B0" w:rsidRPr="007D45AB" w:rsidRDefault="00492B47"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000000"/>
          <w:sz w:val="24"/>
          <w:szCs w:val="24"/>
        </w:rPr>
      </w:pPr>
      <w:r w:rsidRPr="007D45AB">
        <w:rPr>
          <w:rFonts w:ascii="Times New Roman" w:eastAsia="Times New Roman" w:hAnsi="Times New Roman" w:cs="Times New Roman"/>
          <w:color w:val="000000"/>
          <w:sz w:val="24"/>
          <w:szCs w:val="24"/>
        </w:rPr>
        <w:t xml:space="preserve">Gender roles are the expected attitudes and behavior a particular society associates with each sex. It is the society’s concept of how males and females are expected to behave and act. </w:t>
      </w:r>
      <w:r w:rsidR="00864CA7" w:rsidRPr="007D45AB">
        <w:rPr>
          <w:rFonts w:ascii="Times New Roman" w:eastAsia="Times New Roman" w:hAnsi="Times New Roman" w:cs="Times New Roman"/>
          <w:color w:val="000000"/>
          <w:sz w:val="24"/>
          <w:szCs w:val="24"/>
        </w:rPr>
        <w:lastRenderedPageBreak/>
        <w:t>Gender</w:t>
      </w:r>
      <w:r w:rsidRPr="007D45AB">
        <w:rPr>
          <w:rFonts w:ascii="Times New Roman" w:eastAsia="Times New Roman" w:hAnsi="Times New Roman" w:cs="Times New Roman"/>
          <w:color w:val="000000"/>
          <w:sz w:val="24"/>
          <w:szCs w:val="24"/>
        </w:rPr>
        <w:t xml:space="preserve"> roles are guided by the standards, culture, an</w:t>
      </w:r>
      <w:r w:rsidR="00BC0C63">
        <w:rPr>
          <w:rFonts w:ascii="Times New Roman" w:eastAsia="Times New Roman" w:hAnsi="Times New Roman" w:cs="Times New Roman"/>
          <w:color w:val="000000"/>
          <w:sz w:val="24"/>
          <w:szCs w:val="24"/>
        </w:rPr>
        <w:t>d norms of a particular society</w:t>
      </w:r>
      <w:r w:rsidRPr="007D45AB">
        <w:rPr>
          <w:rFonts w:ascii="Times New Roman" w:eastAsia="Times New Roman" w:hAnsi="Times New Roman" w:cs="Times New Roman"/>
          <w:color w:val="000000"/>
          <w:sz w:val="24"/>
          <w:szCs w:val="24"/>
        </w:rPr>
        <w:t xml:space="preserve">. They are cultural and determine how males and females should dress, eat, speak, think or interact with others. For example, in most </w:t>
      </w:r>
      <w:r w:rsidR="00864CA7" w:rsidRPr="007D45AB">
        <w:rPr>
          <w:rFonts w:ascii="Times New Roman" w:eastAsia="Times New Roman" w:hAnsi="Times New Roman" w:cs="Times New Roman"/>
          <w:color w:val="000000"/>
          <w:sz w:val="24"/>
          <w:szCs w:val="24"/>
        </w:rPr>
        <w:t>societies</w:t>
      </w:r>
      <w:r w:rsidRPr="007D45AB">
        <w:rPr>
          <w:rFonts w:ascii="Times New Roman" w:eastAsia="Times New Roman" w:hAnsi="Times New Roman" w:cs="Times New Roman"/>
          <w:color w:val="000000"/>
          <w:sz w:val="24"/>
          <w:szCs w:val="24"/>
        </w:rPr>
        <w:t xml:space="preserve">, masculine roles include aggression, </w:t>
      </w:r>
      <w:r w:rsidR="00864CA7" w:rsidRPr="007D45AB">
        <w:rPr>
          <w:rFonts w:ascii="Times New Roman" w:eastAsia="Times New Roman" w:hAnsi="Times New Roman" w:cs="Times New Roman"/>
          <w:color w:val="000000"/>
          <w:sz w:val="24"/>
          <w:szCs w:val="24"/>
        </w:rPr>
        <w:t>strength, and</w:t>
      </w:r>
      <w:r w:rsidRPr="007D45AB">
        <w:rPr>
          <w:rFonts w:ascii="Times New Roman" w:eastAsia="Times New Roman" w:hAnsi="Times New Roman" w:cs="Times New Roman"/>
          <w:color w:val="000000"/>
          <w:sz w:val="24"/>
          <w:szCs w:val="24"/>
        </w:rPr>
        <w:t xml:space="preserve"> dominance while those of women include</w:t>
      </w:r>
      <w:r w:rsidR="00864CA7" w:rsidRPr="007D45AB">
        <w:rPr>
          <w:rFonts w:ascii="Times New Roman" w:eastAsia="Times New Roman" w:hAnsi="Times New Roman" w:cs="Times New Roman"/>
          <w:color w:val="000000"/>
          <w:sz w:val="24"/>
          <w:szCs w:val="24"/>
        </w:rPr>
        <w:t xml:space="preserve"> nurturing, timidity and passi</w:t>
      </w:r>
      <w:r w:rsidRPr="007D45AB">
        <w:rPr>
          <w:rFonts w:ascii="Times New Roman" w:eastAsia="Times New Roman" w:hAnsi="Times New Roman" w:cs="Times New Roman"/>
          <w:color w:val="000000"/>
          <w:sz w:val="24"/>
          <w:szCs w:val="24"/>
        </w:rPr>
        <w:t>vity.</w:t>
      </w:r>
      <w:r w:rsidR="00CE7C64" w:rsidRPr="007D45AB">
        <w:rPr>
          <w:rFonts w:ascii="Times New Roman" w:eastAsia="Times New Roman" w:hAnsi="Times New Roman" w:cs="Times New Roman"/>
          <w:color w:val="000000"/>
          <w:sz w:val="24"/>
          <w:szCs w:val="24"/>
        </w:rPr>
        <w:t xml:space="preserve"> </w:t>
      </w:r>
      <w:r w:rsidR="00A709B0" w:rsidRPr="007D45AB">
        <w:rPr>
          <w:rFonts w:ascii="Times New Roman" w:eastAsia="Times New Roman" w:hAnsi="Times New Roman" w:cs="Times New Roman"/>
          <w:color w:val="000000"/>
          <w:sz w:val="24"/>
          <w:szCs w:val="24"/>
        </w:rPr>
        <w:t xml:space="preserve"> </w:t>
      </w:r>
    </w:p>
    <w:p w:rsidR="00220B55" w:rsidRPr="007D45AB" w:rsidRDefault="00220B55"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000000"/>
          <w:sz w:val="24"/>
          <w:szCs w:val="24"/>
        </w:rPr>
      </w:pPr>
      <w:r w:rsidRPr="007D45AB">
        <w:rPr>
          <w:rFonts w:ascii="Times New Roman" w:eastAsia="Times New Roman" w:hAnsi="Times New Roman" w:cs="Times New Roman"/>
          <w:color w:val="000000"/>
          <w:sz w:val="24"/>
          <w:szCs w:val="24"/>
        </w:rPr>
        <w:t>Gender expression refers to an individual’s behavior, interests, and mannerisms associated with gender in a particular society or cultural context. In</w:t>
      </w:r>
      <w:r w:rsidR="00F31BF7">
        <w:rPr>
          <w:rFonts w:ascii="Times New Roman" w:eastAsia="Times New Roman" w:hAnsi="Times New Roman" w:cs="Times New Roman"/>
          <w:color w:val="000000"/>
          <w:sz w:val="24"/>
          <w:szCs w:val="24"/>
        </w:rPr>
        <w:t xml:space="preserve"> boys and men, masculine </w:t>
      </w:r>
      <w:r w:rsidR="00AF31FC" w:rsidRPr="007D45AB">
        <w:rPr>
          <w:rFonts w:ascii="Times New Roman" w:eastAsia="Times New Roman" w:hAnsi="Times New Roman" w:cs="Times New Roman"/>
          <w:color w:val="000000"/>
          <w:sz w:val="24"/>
          <w:szCs w:val="24"/>
        </w:rPr>
        <w:t xml:space="preserve">gender expression is described as manly while feminine </w:t>
      </w:r>
      <w:r w:rsidR="00F31BF7">
        <w:rPr>
          <w:rFonts w:ascii="Times New Roman" w:eastAsia="Times New Roman" w:hAnsi="Times New Roman" w:cs="Times New Roman"/>
          <w:color w:val="000000"/>
          <w:sz w:val="24"/>
          <w:szCs w:val="24"/>
        </w:rPr>
        <w:t>expression is called effeminate</w:t>
      </w:r>
      <w:r w:rsidR="00F31BF7" w:rsidRPr="00F31BF7">
        <w:rPr>
          <w:rFonts w:ascii="Times New Roman" w:hAnsi="Times New Roman" w:cs="Times New Roman"/>
          <w:sz w:val="24"/>
          <w:szCs w:val="24"/>
        </w:rPr>
        <w:t xml:space="preserve"> </w:t>
      </w:r>
      <w:r w:rsidR="00F31BF7">
        <w:rPr>
          <w:rFonts w:ascii="Times New Roman" w:hAnsi="Times New Roman" w:cs="Times New Roman"/>
          <w:sz w:val="24"/>
          <w:szCs w:val="24"/>
        </w:rPr>
        <w:t>(</w:t>
      </w:r>
      <w:r w:rsidR="00F31BF7">
        <w:rPr>
          <w:rFonts w:ascii="Times New Roman" w:eastAsia="Times New Roman" w:hAnsi="Times New Roman" w:cs="Times New Roman"/>
          <w:color w:val="000000"/>
          <w:sz w:val="24"/>
          <w:szCs w:val="24"/>
        </w:rPr>
        <w:t xml:space="preserve">Horn, </w:t>
      </w:r>
      <w:r w:rsidR="00F31BF7" w:rsidRPr="00F31BF7">
        <w:rPr>
          <w:rFonts w:ascii="Times New Roman" w:eastAsia="Times New Roman" w:hAnsi="Times New Roman" w:cs="Times New Roman"/>
          <w:color w:val="000000"/>
          <w:sz w:val="24"/>
          <w:szCs w:val="24"/>
        </w:rPr>
        <w:t>2007).</w:t>
      </w:r>
    </w:p>
    <w:p w:rsidR="00864CA7" w:rsidRPr="007D45AB" w:rsidRDefault="00864CA7"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000000"/>
          <w:sz w:val="24"/>
          <w:szCs w:val="24"/>
        </w:rPr>
      </w:pPr>
      <w:r w:rsidRPr="007D45AB">
        <w:rPr>
          <w:rFonts w:ascii="Times New Roman" w:eastAsia="Times New Roman" w:hAnsi="Times New Roman" w:cs="Times New Roman"/>
          <w:color w:val="000000"/>
          <w:sz w:val="24"/>
          <w:szCs w:val="24"/>
        </w:rPr>
        <w:t>Sexual orientation refers to an individual’s sexual and emotional a</w:t>
      </w:r>
      <w:r w:rsidR="00F31BF7">
        <w:rPr>
          <w:rFonts w:ascii="Times New Roman" w:eastAsia="Times New Roman" w:hAnsi="Times New Roman" w:cs="Times New Roman"/>
          <w:color w:val="000000"/>
          <w:sz w:val="24"/>
          <w:szCs w:val="24"/>
        </w:rPr>
        <w:t>ttraction to a particular sex</w:t>
      </w:r>
      <w:r w:rsidR="00F31BF7" w:rsidRPr="00F31BF7">
        <w:rPr>
          <w:rFonts w:ascii="Times New Roman" w:hAnsi="Times New Roman" w:cs="Times New Roman"/>
          <w:sz w:val="24"/>
          <w:szCs w:val="24"/>
        </w:rPr>
        <w:t xml:space="preserve"> </w:t>
      </w:r>
      <w:r w:rsidR="00F31BF7">
        <w:rPr>
          <w:rFonts w:ascii="Times New Roman" w:hAnsi="Times New Roman" w:cs="Times New Roman"/>
          <w:sz w:val="24"/>
          <w:szCs w:val="24"/>
        </w:rPr>
        <w:t>(</w:t>
      </w:r>
      <w:r w:rsidR="00F31BF7">
        <w:rPr>
          <w:rFonts w:ascii="Times New Roman" w:eastAsia="Times New Roman" w:hAnsi="Times New Roman" w:cs="Times New Roman"/>
          <w:color w:val="000000"/>
          <w:sz w:val="24"/>
          <w:szCs w:val="24"/>
        </w:rPr>
        <w:t xml:space="preserve">Bailey &amp; Pillard, </w:t>
      </w:r>
      <w:r w:rsidR="00F31BF7" w:rsidRPr="00F31BF7">
        <w:rPr>
          <w:rFonts w:ascii="Times New Roman" w:eastAsia="Times New Roman" w:hAnsi="Times New Roman" w:cs="Times New Roman"/>
          <w:color w:val="000000"/>
          <w:sz w:val="24"/>
          <w:szCs w:val="24"/>
        </w:rPr>
        <w:t xml:space="preserve">1991). </w:t>
      </w:r>
      <w:r w:rsidRPr="007D45AB">
        <w:rPr>
          <w:rFonts w:ascii="Times New Roman" w:eastAsia="Times New Roman" w:hAnsi="Times New Roman" w:cs="Times New Roman"/>
          <w:color w:val="000000"/>
          <w:sz w:val="24"/>
          <w:szCs w:val="24"/>
        </w:rPr>
        <w:t xml:space="preserve"> There are four categories of sexual orientation: homosexual (attraction to individuals of the same sex), heterosexual (attraction to individuals of the opposite sex), bisexuality (attraction to individuals of either sex) and asexuality (no attraction to either sex). For example, a man who is sexually attracted to another man is homosexual.</w:t>
      </w:r>
    </w:p>
    <w:p w:rsidR="00220B55" w:rsidRPr="00A709B0" w:rsidRDefault="00220B55" w:rsidP="007D45AB">
      <w:pPr>
        <w:shd w:val="clear" w:color="auto" w:fill="FFFFFF"/>
        <w:spacing w:before="100" w:beforeAutospacing="1" w:after="0" w:afterAutospacing="1" w:line="480" w:lineRule="auto"/>
        <w:ind w:firstLine="720"/>
        <w:rPr>
          <w:rFonts w:ascii="Times New Roman" w:eastAsia="Times New Roman" w:hAnsi="Times New Roman" w:cs="Times New Roman"/>
          <w:color w:val="2D3B45"/>
          <w:sz w:val="24"/>
          <w:szCs w:val="24"/>
        </w:rPr>
      </w:pPr>
      <w:r w:rsidRPr="007D45AB">
        <w:rPr>
          <w:rFonts w:ascii="Times New Roman" w:eastAsia="Times New Roman" w:hAnsi="Times New Roman" w:cs="Times New Roman"/>
          <w:color w:val="000000"/>
          <w:sz w:val="24"/>
          <w:szCs w:val="24"/>
        </w:rPr>
        <w:t xml:space="preserve"> The levels of gender identity formation </w:t>
      </w:r>
      <w:r w:rsidR="00A87C9E" w:rsidRPr="007D45AB">
        <w:rPr>
          <w:rFonts w:ascii="Times New Roman" w:eastAsia="Times New Roman" w:hAnsi="Times New Roman" w:cs="Times New Roman"/>
          <w:color w:val="000000"/>
          <w:sz w:val="24"/>
          <w:szCs w:val="24"/>
        </w:rPr>
        <w:t xml:space="preserve">according to Martin and Ruble are toddlers and preschoolers, (2) the ages of 5-7 years  where the identity is consolidated </w:t>
      </w:r>
      <w:r w:rsidR="007D45AB" w:rsidRPr="007D45AB">
        <w:rPr>
          <w:rFonts w:ascii="Times New Roman" w:eastAsia="Times New Roman" w:hAnsi="Times New Roman" w:cs="Times New Roman"/>
          <w:color w:val="000000"/>
          <w:sz w:val="24"/>
          <w:szCs w:val="24"/>
        </w:rPr>
        <w:t xml:space="preserve">and becomes rigid </w:t>
      </w:r>
      <w:r w:rsidR="00A87C9E" w:rsidRPr="007D45AB">
        <w:rPr>
          <w:rFonts w:ascii="Times New Roman" w:eastAsia="Times New Roman" w:hAnsi="Times New Roman" w:cs="Times New Roman"/>
          <w:color w:val="000000"/>
          <w:sz w:val="24"/>
          <w:szCs w:val="24"/>
        </w:rPr>
        <w:t>and (3) where the social roles relax somewhat.</w:t>
      </w:r>
    </w:p>
    <w:p w:rsidR="00D93E43" w:rsidRDefault="00A87C9E" w:rsidP="007D45AB">
      <w:pPr>
        <w:spacing w:line="480" w:lineRule="auto"/>
        <w:ind w:firstLine="720"/>
        <w:rPr>
          <w:rFonts w:ascii="Times New Roman" w:hAnsi="Times New Roman" w:cs="Times New Roman"/>
          <w:sz w:val="24"/>
          <w:szCs w:val="24"/>
        </w:rPr>
      </w:pPr>
      <w:r w:rsidRPr="007D45AB">
        <w:rPr>
          <w:rFonts w:ascii="Times New Roman" w:hAnsi="Times New Roman" w:cs="Times New Roman"/>
          <w:sz w:val="24"/>
          <w:szCs w:val="24"/>
        </w:rPr>
        <w:t xml:space="preserve">There are differences between males and females based on cognitive and brain differences. Men and women have different brain structures. First, the left side of the brain for men is more developed than the right side. It is thus used for making logical thoughts and analytic thinking. </w:t>
      </w:r>
      <w:r w:rsidR="00AC59CE" w:rsidRPr="007D45AB">
        <w:rPr>
          <w:rFonts w:ascii="Times New Roman" w:hAnsi="Times New Roman" w:cs="Times New Roman"/>
          <w:sz w:val="24"/>
          <w:szCs w:val="24"/>
        </w:rPr>
        <w:t>Women’s</w:t>
      </w:r>
      <w:r w:rsidRPr="007D45AB">
        <w:rPr>
          <w:rFonts w:ascii="Times New Roman" w:hAnsi="Times New Roman" w:cs="Times New Roman"/>
          <w:sz w:val="24"/>
          <w:szCs w:val="24"/>
        </w:rPr>
        <w:t xml:space="preserve"> right side of the brain is more developed than the left side and is responsible for artistic</w:t>
      </w:r>
      <w:r w:rsidR="00AC59CE" w:rsidRPr="007D45AB">
        <w:rPr>
          <w:rFonts w:ascii="Times New Roman" w:hAnsi="Times New Roman" w:cs="Times New Roman"/>
          <w:sz w:val="24"/>
          <w:szCs w:val="24"/>
        </w:rPr>
        <w:t xml:space="preserve"> activities, intuitive thinking, and imaginative tasks. Certain brain regions </w:t>
      </w:r>
      <w:r w:rsidR="00AC59CE" w:rsidRPr="007D45AB">
        <w:rPr>
          <w:rFonts w:ascii="Times New Roman" w:hAnsi="Times New Roman" w:cs="Times New Roman"/>
          <w:sz w:val="24"/>
          <w:szCs w:val="24"/>
        </w:rPr>
        <w:lastRenderedPageBreak/>
        <w:t xml:space="preserve">such as hippocampus and amygdala differ in size between males and females. Much of the difference in cognitive thinking between men and women stems from the sex chromosomes. The cognitive differences are also caused and influenced by the </w:t>
      </w:r>
      <w:r w:rsidR="0049562D" w:rsidRPr="007D45AB">
        <w:rPr>
          <w:rFonts w:ascii="Times New Roman" w:hAnsi="Times New Roman" w:cs="Times New Roman"/>
          <w:sz w:val="24"/>
          <w:szCs w:val="24"/>
        </w:rPr>
        <w:t>sex hormones</w:t>
      </w:r>
      <w:r w:rsidR="00F31BF7" w:rsidRPr="00F31BF7">
        <w:rPr>
          <w:rFonts w:ascii="Times New Roman" w:hAnsi="Times New Roman" w:cs="Times New Roman"/>
          <w:sz w:val="24"/>
          <w:szCs w:val="24"/>
        </w:rPr>
        <w:t xml:space="preserve"> </w:t>
      </w:r>
      <w:r w:rsidR="00F31BF7">
        <w:rPr>
          <w:rFonts w:ascii="Times New Roman" w:hAnsi="Times New Roman" w:cs="Times New Roman"/>
          <w:sz w:val="24"/>
          <w:szCs w:val="24"/>
        </w:rPr>
        <w:t xml:space="preserve">(Horn, </w:t>
      </w:r>
      <w:r w:rsidR="00F31BF7" w:rsidRPr="00F31BF7">
        <w:rPr>
          <w:rFonts w:ascii="Times New Roman" w:hAnsi="Times New Roman" w:cs="Times New Roman"/>
          <w:sz w:val="24"/>
          <w:szCs w:val="24"/>
        </w:rPr>
        <w:t>2007).</w:t>
      </w:r>
      <w:r w:rsidR="0049562D" w:rsidRPr="007D45AB">
        <w:rPr>
          <w:rFonts w:ascii="Times New Roman" w:hAnsi="Times New Roman" w:cs="Times New Roman"/>
          <w:sz w:val="24"/>
          <w:szCs w:val="24"/>
        </w:rPr>
        <w:t xml:space="preserve"> Male sex hormones are called testosterone while the largely female hormone is the estrogen. Androgens (male sex hormone) cause the male brain to develop differently from the female one. Males and females differ in cognitive abilities such as memory, perception, processing speed and executive function.</w:t>
      </w:r>
      <w:r w:rsidR="007D45AB">
        <w:rPr>
          <w:rFonts w:ascii="Times New Roman" w:hAnsi="Times New Roman" w:cs="Times New Roman"/>
          <w:sz w:val="24"/>
          <w:szCs w:val="24"/>
        </w:rPr>
        <w:t xml:space="preserve"> The homologous sex organs </w:t>
      </w:r>
      <w:r w:rsidR="00BC0C63">
        <w:rPr>
          <w:rFonts w:ascii="Times New Roman" w:hAnsi="Times New Roman" w:cs="Times New Roman"/>
          <w:sz w:val="24"/>
          <w:szCs w:val="24"/>
        </w:rPr>
        <w:t>are testis (ovary), penis (clitoris), prostatic utricle (vagina, uterus), and scrotum (labia majora). The ones in brackets represent the female sex organs.</w:t>
      </w:r>
      <w:r w:rsidR="000C15EA">
        <w:rPr>
          <w:rFonts w:ascii="Times New Roman" w:hAnsi="Times New Roman" w:cs="Times New Roman"/>
          <w:sz w:val="24"/>
          <w:szCs w:val="24"/>
        </w:rPr>
        <w:t xml:space="preserve"> (583 </w:t>
      </w:r>
      <w:r w:rsidR="00F31BF7">
        <w:rPr>
          <w:rFonts w:ascii="Times New Roman" w:hAnsi="Times New Roman" w:cs="Times New Roman"/>
          <w:sz w:val="24"/>
          <w:szCs w:val="24"/>
        </w:rPr>
        <w:t>words).</w:t>
      </w: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Default="00F31BF7" w:rsidP="007D45AB">
      <w:pPr>
        <w:spacing w:line="480" w:lineRule="auto"/>
        <w:ind w:firstLine="720"/>
        <w:rPr>
          <w:rFonts w:ascii="Times New Roman" w:hAnsi="Times New Roman" w:cs="Times New Roman"/>
          <w:sz w:val="24"/>
          <w:szCs w:val="24"/>
        </w:rPr>
      </w:pPr>
    </w:p>
    <w:p w:rsidR="00F31BF7" w:rsidRPr="00F31BF7" w:rsidRDefault="00F31BF7" w:rsidP="00F31BF7">
      <w:pPr>
        <w:jc w:val="center"/>
        <w:rPr>
          <w:rFonts w:ascii="Times New Roman" w:hAnsi="Times New Roman" w:cs="Times New Roman"/>
          <w:b/>
          <w:sz w:val="24"/>
          <w:szCs w:val="24"/>
        </w:rPr>
      </w:pPr>
      <w:r w:rsidRPr="00F31BF7">
        <w:rPr>
          <w:rFonts w:ascii="Times New Roman" w:hAnsi="Times New Roman" w:cs="Times New Roman"/>
          <w:b/>
          <w:sz w:val="24"/>
          <w:szCs w:val="24"/>
        </w:rPr>
        <w:t>References</w:t>
      </w:r>
    </w:p>
    <w:p w:rsidR="00F31BF7" w:rsidRDefault="00F31BF7" w:rsidP="00F31BF7">
      <w:pPr>
        <w:spacing w:line="480" w:lineRule="auto"/>
        <w:ind w:left="720" w:hanging="720"/>
        <w:rPr>
          <w:rFonts w:ascii="Times New Roman" w:hAnsi="Times New Roman" w:cs="Times New Roman"/>
          <w:sz w:val="24"/>
          <w:szCs w:val="24"/>
        </w:rPr>
      </w:pPr>
      <w:r w:rsidRPr="00F31BF7">
        <w:rPr>
          <w:rFonts w:ascii="Times New Roman" w:hAnsi="Times New Roman" w:cs="Times New Roman"/>
          <w:sz w:val="24"/>
          <w:szCs w:val="24"/>
        </w:rPr>
        <w:t>Bailey, J. M., &amp; Pillard, R. C. (1991). A genetic study of male sexual orientation. </w:t>
      </w:r>
      <w:r w:rsidRPr="00F31BF7">
        <w:rPr>
          <w:rFonts w:ascii="Times New Roman" w:hAnsi="Times New Roman" w:cs="Times New Roman"/>
          <w:i/>
          <w:iCs/>
          <w:sz w:val="24"/>
          <w:szCs w:val="24"/>
        </w:rPr>
        <w:t>Archives of general psychiatry</w:t>
      </w:r>
      <w:r w:rsidRPr="00F31BF7">
        <w:rPr>
          <w:rFonts w:ascii="Times New Roman" w:hAnsi="Times New Roman" w:cs="Times New Roman"/>
          <w:sz w:val="24"/>
          <w:szCs w:val="24"/>
        </w:rPr>
        <w:t>, </w:t>
      </w:r>
      <w:r w:rsidRPr="00F31BF7">
        <w:rPr>
          <w:rFonts w:ascii="Times New Roman" w:hAnsi="Times New Roman" w:cs="Times New Roman"/>
          <w:i/>
          <w:iCs/>
          <w:sz w:val="24"/>
          <w:szCs w:val="24"/>
        </w:rPr>
        <w:t>48</w:t>
      </w:r>
      <w:r w:rsidRPr="00F31BF7">
        <w:rPr>
          <w:rFonts w:ascii="Times New Roman" w:hAnsi="Times New Roman" w:cs="Times New Roman"/>
          <w:sz w:val="24"/>
          <w:szCs w:val="24"/>
        </w:rPr>
        <w:t>(12), 1089-1096.</w:t>
      </w:r>
    </w:p>
    <w:p w:rsidR="00F31BF7" w:rsidRDefault="00F31BF7" w:rsidP="00F31BF7">
      <w:pPr>
        <w:spacing w:line="480" w:lineRule="auto"/>
        <w:ind w:left="720" w:hanging="720"/>
        <w:rPr>
          <w:rFonts w:ascii="Times New Roman" w:hAnsi="Times New Roman" w:cs="Times New Roman"/>
          <w:sz w:val="24"/>
          <w:szCs w:val="24"/>
        </w:rPr>
      </w:pPr>
      <w:r w:rsidRPr="00F31BF7">
        <w:rPr>
          <w:rFonts w:ascii="Times New Roman" w:hAnsi="Times New Roman" w:cs="Times New Roman"/>
          <w:sz w:val="24"/>
          <w:szCs w:val="24"/>
        </w:rPr>
        <w:t>Cameron, D. (1998). Performing gender identity. </w:t>
      </w:r>
      <w:r w:rsidRPr="00F31BF7">
        <w:rPr>
          <w:rFonts w:ascii="Times New Roman" w:hAnsi="Times New Roman" w:cs="Times New Roman"/>
          <w:i/>
          <w:iCs/>
          <w:sz w:val="24"/>
          <w:szCs w:val="24"/>
        </w:rPr>
        <w:t>Language and gender: a reader. Malden, MA: Blackwell</w:t>
      </w:r>
      <w:r w:rsidRPr="00F31BF7">
        <w:rPr>
          <w:rFonts w:ascii="Times New Roman" w:hAnsi="Times New Roman" w:cs="Times New Roman"/>
          <w:sz w:val="24"/>
          <w:szCs w:val="24"/>
        </w:rPr>
        <w:t>.</w:t>
      </w:r>
    </w:p>
    <w:p w:rsidR="001B5A6E" w:rsidRDefault="00F31BF7" w:rsidP="00F31BF7">
      <w:pPr>
        <w:spacing w:line="480" w:lineRule="auto"/>
        <w:ind w:left="720" w:hanging="720"/>
        <w:rPr>
          <w:rFonts w:ascii="Times New Roman" w:hAnsi="Times New Roman" w:cs="Times New Roman"/>
          <w:sz w:val="24"/>
          <w:szCs w:val="24"/>
        </w:rPr>
      </w:pPr>
      <w:r w:rsidRPr="00F31BF7">
        <w:rPr>
          <w:rFonts w:ascii="Times New Roman" w:hAnsi="Times New Roman" w:cs="Times New Roman"/>
          <w:sz w:val="24"/>
          <w:szCs w:val="24"/>
        </w:rPr>
        <w:t>Horn, S. S. (2007). Adolescents’ acceptance of same-sex peers based on sexual orientation and gender expression. </w:t>
      </w:r>
      <w:r w:rsidRPr="00F31BF7">
        <w:rPr>
          <w:rFonts w:ascii="Times New Roman" w:hAnsi="Times New Roman" w:cs="Times New Roman"/>
          <w:i/>
          <w:iCs/>
          <w:sz w:val="24"/>
          <w:szCs w:val="24"/>
        </w:rPr>
        <w:t>Journal of youth and adolescence</w:t>
      </w:r>
      <w:r w:rsidRPr="00F31BF7">
        <w:rPr>
          <w:rFonts w:ascii="Times New Roman" w:hAnsi="Times New Roman" w:cs="Times New Roman"/>
          <w:sz w:val="24"/>
          <w:szCs w:val="24"/>
        </w:rPr>
        <w:t>, </w:t>
      </w:r>
      <w:r w:rsidRPr="00F31BF7">
        <w:rPr>
          <w:rFonts w:ascii="Times New Roman" w:hAnsi="Times New Roman" w:cs="Times New Roman"/>
          <w:i/>
          <w:iCs/>
          <w:sz w:val="24"/>
          <w:szCs w:val="24"/>
        </w:rPr>
        <w:t>36</w:t>
      </w:r>
      <w:r w:rsidRPr="00F31BF7">
        <w:rPr>
          <w:rFonts w:ascii="Times New Roman" w:hAnsi="Times New Roman" w:cs="Times New Roman"/>
          <w:sz w:val="24"/>
          <w:szCs w:val="24"/>
        </w:rPr>
        <w:t>(3), 363-371.</w:t>
      </w:r>
    </w:p>
    <w:p w:rsidR="001B5A6E" w:rsidRDefault="001B5A6E" w:rsidP="001B5A6E">
      <w:pPr>
        <w:rPr>
          <w:rFonts w:ascii="Times New Roman" w:hAnsi="Times New Roman" w:cs="Times New Roman"/>
          <w:sz w:val="24"/>
          <w:szCs w:val="24"/>
        </w:rPr>
      </w:pPr>
      <w:hyperlink r:id="rId7" w:tgtFrame="_blank" w:history="1">
        <w:r w:rsidRPr="001B5A6E">
          <w:rPr>
            <w:rStyle w:val="Hyperlink"/>
            <w:rFonts w:ascii="Times New Roman" w:hAnsi="Times New Roman" w:cs="Times New Roman"/>
            <w:sz w:val="24"/>
            <w:szCs w:val="24"/>
          </w:rPr>
          <w:t>http://www.gender.org.uk/about (Links to an external site.)Links to an external site.</w:t>
        </w:r>
      </w:hyperlink>
    </w:p>
    <w:p w:rsidR="001B5A6E" w:rsidRDefault="001B5A6E" w:rsidP="001B5A6E">
      <w:pPr>
        <w:rPr>
          <w:rFonts w:ascii="Times New Roman" w:hAnsi="Times New Roman" w:cs="Times New Roman"/>
          <w:sz w:val="24"/>
          <w:szCs w:val="24"/>
        </w:rPr>
      </w:pPr>
    </w:p>
    <w:p w:rsidR="001B5A6E" w:rsidRDefault="001B5A6E" w:rsidP="001B5A6E">
      <w:pPr>
        <w:tabs>
          <w:tab w:val="left" w:pos="2190"/>
        </w:tabs>
        <w:spacing w:line="480" w:lineRule="auto"/>
        <w:rPr>
          <w:rFonts w:ascii="Times New Roman" w:hAnsi="Times New Roman" w:cs="Times New Roman"/>
          <w:b/>
          <w:sz w:val="24"/>
          <w:szCs w:val="24"/>
        </w:rPr>
      </w:pPr>
      <w:r>
        <w:rPr>
          <w:rFonts w:ascii="Times New Roman" w:hAnsi="Times New Roman" w:cs="Times New Roman"/>
          <w:sz w:val="24"/>
          <w:szCs w:val="24"/>
        </w:rPr>
        <w:tab/>
      </w:r>
      <w:r w:rsidRPr="001B5A6E">
        <w:rPr>
          <w:rFonts w:ascii="Times New Roman" w:hAnsi="Times New Roman" w:cs="Times New Roman"/>
          <w:b/>
          <w:sz w:val="24"/>
          <w:szCs w:val="24"/>
        </w:rPr>
        <w:t>Reason for selecting topic for the discussion.</w:t>
      </w:r>
    </w:p>
    <w:p w:rsidR="00F31BF7" w:rsidRPr="001B5A6E" w:rsidRDefault="001B5A6E" w:rsidP="001B5A6E">
      <w:pPr>
        <w:spacing w:line="480" w:lineRule="auto"/>
        <w:rPr>
          <w:rFonts w:ascii="Times New Roman" w:hAnsi="Times New Roman" w:cs="Times New Roman"/>
          <w:sz w:val="24"/>
          <w:szCs w:val="24"/>
        </w:rPr>
      </w:pPr>
      <w:r>
        <w:rPr>
          <w:rFonts w:ascii="Times New Roman" w:hAnsi="Times New Roman" w:cs="Times New Roman"/>
          <w:sz w:val="24"/>
          <w:szCs w:val="24"/>
        </w:rPr>
        <w:t xml:space="preserve">To give a better understanding of the difference between the controversial and conflicting terms of sex, gender roles, gender identity, </w:t>
      </w:r>
      <w:proofErr w:type="gramStart"/>
      <w:r>
        <w:rPr>
          <w:rFonts w:ascii="Times New Roman" w:hAnsi="Times New Roman" w:cs="Times New Roman"/>
          <w:sz w:val="24"/>
          <w:szCs w:val="24"/>
        </w:rPr>
        <w:t>sexual</w:t>
      </w:r>
      <w:proofErr w:type="gramEnd"/>
      <w:r>
        <w:rPr>
          <w:rFonts w:ascii="Times New Roman" w:hAnsi="Times New Roman" w:cs="Times New Roman"/>
          <w:sz w:val="24"/>
          <w:szCs w:val="24"/>
        </w:rPr>
        <w:t xml:space="preserve"> orientation and gender expression.</w:t>
      </w:r>
    </w:p>
    <w:sectPr w:rsidR="00F31BF7" w:rsidRPr="001B5A6E" w:rsidSect="00DA51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EC1" w:rsidRDefault="00901EC1" w:rsidP="007D45AB">
      <w:pPr>
        <w:spacing w:after="0" w:line="240" w:lineRule="auto"/>
      </w:pPr>
      <w:r>
        <w:separator/>
      </w:r>
    </w:p>
  </w:endnote>
  <w:endnote w:type="continuationSeparator" w:id="0">
    <w:p w:rsidR="00901EC1" w:rsidRDefault="00901EC1" w:rsidP="007D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EC1" w:rsidRDefault="00901EC1" w:rsidP="007D45AB">
      <w:pPr>
        <w:spacing w:after="0" w:line="240" w:lineRule="auto"/>
      </w:pPr>
      <w:r>
        <w:separator/>
      </w:r>
    </w:p>
  </w:footnote>
  <w:footnote w:type="continuationSeparator" w:id="0">
    <w:p w:rsidR="00901EC1" w:rsidRDefault="00901EC1" w:rsidP="007D45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53301"/>
      <w:docPartObj>
        <w:docPartGallery w:val="Page Numbers (Top of Page)"/>
        <w:docPartUnique/>
      </w:docPartObj>
    </w:sdtPr>
    <w:sdtEndPr>
      <w:rPr>
        <w:noProof/>
      </w:rPr>
    </w:sdtEndPr>
    <w:sdtContent>
      <w:p w:rsidR="00DA511B" w:rsidRDefault="00DA511B">
        <w:pPr>
          <w:pStyle w:val="Header"/>
          <w:jc w:val="right"/>
        </w:pPr>
        <w:r>
          <w:t xml:space="preserve">PSYCHOLOGY                                                                                                                                                                 </w:t>
        </w:r>
        <w:r>
          <w:fldChar w:fldCharType="begin"/>
        </w:r>
        <w:r>
          <w:instrText xml:space="preserve"> PAGE   \* MERGEFORMAT </w:instrText>
        </w:r>
        <w:r>
          <w:fldChar w:fldCharType="separate"/>
        </w:r>
        <w:r w:rsidR="00354E25">
          <w:rPr>
            <w:noProof/>
          </w:rPr>
          <w:t>2</w:t>
        </w:r>
        <w:r>
          <w:rPr>
            <w:noProof/>
          </w:rPr>
          <w:fldChar w:fldCharType="end"/>
        </w:r>
      </w:p>
    </w:sdtContent>
  </w:sdt>
  <w:p w:rsidR="00DA511B" w:rsidRDefault="00DA51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1B" w:rsidRDefault="00DA511B">
    <w:pPr>
      <w:pStyle w:val="Header"/>
    </w:pPr>
    <w:r>
      <w:t>Running head: PSYCHOLOGY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2020E"/>
    <w:multiLevelType w:val="multilevel"/>
    <w:tmpl w:val="EB7A5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3"/>
    <w:rsid w:val="000C15EA"/>
    <w:rsid w:val="001B5A6E"/>
    <w:rsid w:val="00220B55"/>
    <w:rsid w:val="00354E25"/>
    <w:rsid w:val="00492B47"/>
    <w:rsid w:val="0049562D"/>
    <w:rsid w:val="005E76DE"/>
    <w:rsid w:val="007D45AB"/>
    <w:rsid w:val="00864CA7"/>
    <w:rsid w:val="00901EC1"/>
    <w:rsid w:val="00A709B0"/>
    <w:rsid w:val="00A87C9E"/>
    <w:rsid w:val="00AC59CE"/>
    <w:rsid w:val="00AF31FC"/>
    <w:rsid w:val="00BC0C63"/>
    <w:rsid w:val="00CE7C64"/>
    <w:rsid w:val="00D93E43"/>
    <w:rsid w:val="00DA511B"/>
    <w:rsid w:val="00F0485D"/>
    <w:rsid w:val="00F31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FAD33-9915-4F56-82B6-1B581849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5AB"/>
  </w:style>
  <w:style w:type="paragraph" w:styleId="Footer">
    <w:name w:val="footer"/>
    <w:basedOn w:val="Normal"/>
    <w:link w:val="FooterChar"/>
    <w:uiPriority w:val="99"/>
    <w:unhideWhenUsed/>
    <w:rsid w:val="007D4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5AB"/>
  </w:style>
  <w:style w:type="character" w:styleId="Hyperlink">
    <w:name w:val="Hyperlink"/>
    <w:basedOn w:val="DefaultParagraphFont"/>
    <w:uiPriority w:val="99"/>
    <w:unhideWhenUsed/>
    <w:rsid w:val="001B5A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ender.org.uk/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7</cp:revision>
  <dcterms:created xsi:type="dcterms:W3CDTF">2019-03-27T22:00:00Z</dcterms:created>
  <dcterms:modified xsi:type="dcterms:W3CDTF">2019-03-28T00:26:00Z</dcterms:modified>
</cp:coreProperties>
</file>